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6289C" w14:textId="1E4C1BF6" w:rsidR="00874286" w:rsidRPr="009342D7" w:rsidRDefault="009342D7" w:rsidP="009342D7">
      <w:pPr>
        <w:pStyle w:val="NoSpacing"/>
        <w:jc w:val="center"/>
        <w:rPr>
          <w:b/>
          <w:sz w:val="44"/>
          <w:szCs w:val="44"/>
          <w:u w:val="single"/>
        </w:rPr>
      </w:pPr>
      <w:r w:rsidRPr="009342D7">
        <w:rPr>
          <w:b/>
          <w:sz w:val="44"/>
          <w:szCs w:val="44"/>
          <w:u w:val="single"/>
        </w:rPr>
        <w:t>Single Parameter Scaling Theory</w:t>
      </w:r>
    </w:p>
    <w:p w14:paraId="68D97D5D" w14:textId="52706CD4" w:rsidR="009342D7" w:rsidRDefault="009342D7" w:rsidP="009342D7">
      <w:pPr>
        <w:pStyle w:val="NoSpacing"/>
        <w:rPr>
          <w:sz w:val="24"/>
          <w:szCs w:val="24"/>
        </w:rPr>
      </w:pPr>
    </w:p>
    <w:p w14:paraId="5E32DA67" w14:textId="77777777" w:rsidR="001E2440" w:rsidRDefault="00132E84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Consider the </w:t>
      </w:r>
      <w:r w:rsidR="00CF550E" w:rsidRPr="00132E84">
        <w:rPr>
          <w:rFonts w:ascii="Calibri" w:eastAsia="Calibri" w:hAnsi="Calibri" w:cs="Times New Roman"/>
          <w:sz w:val="24"/>
          <w:szCs w:val="24"/>
        </w:rPr>
        <w:t>ferromagnetic spin problem</w:t>
      </w:r>
      <w:r>
        <w:rPr>
          <w:rFonts w:ascii="Calibri" w:eastAsia="Calibri" w:hAnsi="Calibri" w:cs="Times New Roman"/>
          <w:sz w:val="24"/>
          <w:szCs w:val="24"/>
        </w:rPr>
        <w:t>.  It depends on just two parameters:</w:t>
      </w:r>
      <w:r w:rsidR="00CF550E" w:rsidRPr="00132E84">
        <w:rPr>
          <w:rFonts w:ascii="Calibri" w:eastAsia="Calibri" w:hAnsi="Calibri" w:cs="Times New Roman"/>
          <w:sz w:val="24"/>
          <w:szCs w:val="24"/>
        </w:rPr>
        <w:t xml:space="preserve"> T, h.  </w:t>
      </w:r>
      <w:r>
        <w:rPr>
          <w:rFonts w:ascii="Calibri" w:eastAsia="Calibri" w:hAnsi="Calibri" w:cs="Times New Roman"/>
          <w:sz w:val="24"/>
          <w:szCs w:val="24"/>
        </w:rPr>
        <w:t>If</w:t>
      </w:r>
      <w:r w:rsidR="00CF550E" w:rsidRPr="00132E84">
        <w:rPr>
          <w:rFonts w:ascii="Calibri" w:eastAsia="Calibri" w:hAnsi="Calibri" w:cs="Times New Roman"/>
          <w:sz w:val="24"/>
          <w:szCs w:val="24"/>
        </w:rPr>
        <w:t xml:space="preserve"> we know</w:t>
      </w:r>
      <w:r w:rsidRPr="00132E84">
        <w:rPr>
          <w:rFonts w:ascii="Calibri" w:eastAsia="Calibri" w:hAnsi="Calibri" w:cs="Times New Roman"/>
          <w:sz w:val="24"/>
          <w:szCs w:val="24"/>
        </w:rPr>
        <w:t xml:space="preserve"> how they change upon rescaling, then we can, from the Kadanov thermodynamic relations, upon the critical exponents.  </w:t>
      </w:r>
    </w:p>
    <w:p w14:paraId="4EDB9B98" w14:textId="644F8E19" w:rsidR="001E2440" w:rsidRDefault="001E2440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</w:p>
    <w:p w14:paraId="5B0B52CF" w14:textId="3A983A00" w:rsidR="001D6CB2" w:rsidRPr="001D6CB2" w:rsidRDefault="001D6CB2" w:rsidP="009342D7">
      <w:pPr>
        <w:pStyle w:val="NoSpacing"/>
        <w:rPr>
          <w:rFonts w:ascii="Calibri" w:eastAsia="Calibri" w:hAnsi="Calibri" w:cs="Times New Roman"/>
          <w:b/>
          <w:sz w:val="32"/>
          <w:szCs w:val="32"/>
        </w:rPr>
      </w:pPr>
      <w:r w:rsidRPr="001D6CB2">
        <w:rPr>
          <w:rFonts w:ascii="Calibri" w:eastAsia="Calibri" w:hAnsi="Calibri" w:cs="Times New Roman"/>
          <w:b/>
          <w:sz w:val="32"/>
          <w:szCs w:val="32"/>
        </w:rPr>
        <w:t>Basic Idea Applied to Transport</w:t>
      </w:r>
    </w:p>
    <w:p w14:paraId="55734DA2" w14:textId="13AACCC9" w:rsidR="0045036C" w:rsidRDefault="00132E84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  <w:r w:rsidRPr="00132E84">
        <w:rPr>
          <w:rFonts w:ascii="Calibri" w:eastAsia="Calibri" w:hAnsi="Calibri" w:cs="Times New Roman"/>
          <w:sz w:val="24"/>
          <w:szCs w:val="24"/>
        </w:rPr>
        <w:t xml:space="preserve">Such an approach could be useful </w:t>
      </w:r>
      <w:r w:rsidR="001E2440">
        <w:rPr>
          <w:rFonts w:ascii="Calibri" w:eastAsia="Calibri" w:hAnsi="Calibri" w:cs="Times New Roman"/>
          <w:sz w:val="24"/>
          <w:szCs w:val="24"/>
        </w:rPr>
        <w:t xml:space="preserve">to our transport problem </w:t>
      </w:r>
      <w:r w:rsidRPr="00132E84">
        <w:rPr>
          <w:rFonts w:ascii="Calibri" w:eastAsia="Calibri" w:hAnsi="Calibri" w:cs="Times New Roman"/>
          <w:sz w:val="24"/>
          <w:szCs w:val="24"/>
        </w:rPr>
        <w:t xml:space="preserve">here.  </w:t>
      </w:r>
      <w:r w:rsidR="0045036C">
        <w:rPr>
          <w:rFonts w:ascii="Calibri" w:eastAsia="Calibri" w:hAnsi="Calibri" w:cs="Times New Roman"/>
          <w:sz w:val="24"/>
          <w:szCs w:val="24"/>
        </w:rPr>
        <w:t xml:space="preserve">The rescaling would seem to be more literal than above.  So we might consider length dependent </w:t>
      </w:r>
      <w:r w:rsidR="005F46E2">
        <w:rPr>
          <w:rFonts w:ascii="Calibri" w:eastAsia="Calibri" w:hAnsi="Calibri" w:cs="Times New Roman"/>
          <w:sz w:val="24"/>
          <w:szCs w:val="24"/>
        </w:rPr>
        <w:t xml:space="preserve">transport (or not) </w:t>
      </w:r>
      <w:r w:rsidR="0045036C">
        <w:rPr>
          <w:rFonts w:ascii="Calibri" w:eastAsia="Calibri" w:hAnsi="Calibri" w:cs="Times New Roman"/>
          <w:sz w:val="24"/>
          <w:szCs w:val="24"/>
        </w:rPr>
        <w:t xml:space="preserve">quantities and consider how they scale as we extend the length of the system.  Now in general transport would depend on various quantities like: </w:t>
      </w:r>
      <w:r w:rsidR="001D6CB2" w:rsidRPr="001D6CB2">
        <w:rPr>
          <w:rFonts w:ascii="Calibri" w:eastAsia="Calibri" w:hAnsi="Calibri" w:cs="Calibri"/>
          <w:b/>
          <w:sz w:val="24"/>
          <w:szCs w:val="24"/>
        </w:rPr>
        <w:t>χ</w:t>
      </w:r>
      <w:r w:rsidR="001D6CB2">
        <w:rPr>
          <w:rFonts w:ascii="Calibri" w:eastAsia="Calibri" w:hAnsi="Calibri" w:cs="Times New Roman"/>
          <w:sz w:val="24"/>
          <w:szCs w:val="24"/>
        </w:rPr>
        <w:t xml:space="preserve"> = </w:t>
      </w:r>
      <w:r w:rsidR="0045036C" w:rsidRPr="00132E84">
        <w:rPr>
          <w:sz w:val="24"/>
          <w:szCs w:val="24"/>
        </w:rPr>
        <w:t>E</w:t>
      </w:r>
      <w:r w:rsidR="0045036C" w:rsidRPr="00132E84">
        <w:rPr>
          <w:sz w:val="24"/>
          <w:szCs w:val="24"/>
          <w:vertAlign w:val="subscript"/>
        </w:rPr>
        <w:t>F</w:t>
      </w:r>
      <w:r w:rsidR="0045036C" w:rsidRPr="00132E84">
        <w:rPr>
          <w:sz w:val="24"/>
          <w:szCs w:val="24"/>
        </w:rPr>
        <w:t xml:space="preserve">, </w:t>
      </w:r>
      <w:r w:rsidR="0045036C">
        <w:rPr>
          <w:rFonts w:ascii="Calibri" w:hAnsi="Calibri" w:cs="Calibri"/>
          <w:sz w:val="24"/>
          <w:szCs w:val="24"/>
        </w:rPr>
        <w:t>τ</w:t>
      </w:r>
      <w:r w:rsidR="0045036C" w:rsidRPr="00132E84">
        <w:rPr>
          <w:rFonts w:ascii="Calibri" w:eastAsia="Calibri" w:hAnsi="Calibri" w:cs="Times New Roman"/>
          <w:sz w:val="24"/>
          <w:szCs w:val="24"/>
          <w:vertAlign w:val="subscript"/>
        </w:rPr>
        <w:t>F</w:t>
      </w:r>
      <w:r w:rsidR="0045036C" w:rsidRPr="00132E84">
        <w:rPr>
          <w:rFonts w:ascii="Calibri" w:eastAsia="Calibri" w:hAnsi="Calibri" w:cs="Times New Roman"/>
          <w:sz w:val="24"/>
          <w:szCs w:val="24"/>
        </w:rPr>
        <w:t xml:space="preserve">, </w:t>
      </w:r>
      <w:r w:rsidR="0045036C" w:rsidRPr="00132E84">
        <w:rPr>
          <w:rFonts w:ascii="Calibri" w:eastAsia="Calibri" w:hAnsi="Calibri" w:cs="Calibri"/>
          <w:sz w:val="24"/>
          <w:szCs w:val="24"/>
        </w:rPr>
        <w:t>ℓ</w:t>
      </w:r>
      <w:r w:rsidR="0045036C" w:rsidRPr="00132E84">
        <w:rPr>
          <w:rFonts w:ascii="Calibri" w:eastAsia="Calibri" w:hAnsi="Calibri" w:cs="Times New Roman"/>
          <w:sz w:val="24"/>
          <w:szCs w:val="24"/>
        </w:rPr>
        <w:t>, n</w:t>
      </w:r>
      <w:r w:rsidR="0045036C" w:rsidRPr="00132E84">
        <w:rPr>
          <w:rFonts w:ascii="Calibri" w:eastAsia="Calibri" w:hAnsi="Calibri" w:cs="Times New Roman"/>
          <w:sz w:val="24"/>
          <w:szCs w:val="24"/>
          <w:vertAlign w:val="subscript"/>
        </w:rPr>
        <w:t>i</w:t>
      </w:r>
      <w:r w:rsidR="0045036C" w:rsidRPr="00132E84">
        <w:rPr>
          <w:rFonts w:ascii="Calibri" w:eastAsia="Calibri" w:hAnsi="Calibri" w:cs="Times New Roman"/>
          <w:sz w:val="24"/>
          <w:szCs w:val="24"/>
        </w:rPr>
        <w:t xml:space="preserve">, </w:t>
      </w:r>
      <w:r w:rsidR="0045036C">
        <w:rPr>
          <w:rFonts w:ascii="Calibri" w:eastAsia="Calibri" w:hAnsi="Calibri" w:cs="Times New Roman"/>
          <w:sz w:val="24"/>
          <w:szCs w:val="24"/>
        </w:rPr>
        <w:t>band structure/anisotropy</w:t>
      </w:r>
      <w:r w:rsidR="0045036C" w:rsidRPr="00132E84">
        <w:rPr>
          <w:rFonts w:ascii="Calibri" w:eastAsia="Calibri" w:hAnsi="Calibri" w:cs="Times New Roman"/>
          <w:sz w:val="24"/>
          <w:szCs w:val="24"/>
        </w:rPr>
        <w:t>, B,</w:t>
      </w:r>
      <w:r w:rsidR="0045036C">
        <w:rPr>
          <w:rFonts w:ascii="Calibri" w:eastAsia="Calibri" w:hAnsi="Calibri" w:cs="Times New Roman"/>
          <w:sz w:val="24"/>
          <w:szCs w:val="24"/>
        </w:rPr>
        <w:t xml:space="preserve"> etc., besides length.  And in general, a length dependent transport related quantity</w:t>
      </w:r>
      <w:r w:rsidR="005F46E2">
        <w:rPr>
          <w:rFonts w:ascii="Calibri" w:eastAsia="Calibri" w:hAnsi="Calibri" w:cs="Times New Roman"/>
          <w:sz w:val="24"/>
          <w:szCs w:val="24"/>
        </w:rPr>
        <w:t>, q,</w:t>
      </w:r>
      <w:r w:rsidR="0045036C">
        <w:rPr>
          <w:rFonts w:ascii="Calibri" w:eastAsia="Calibri" w:hAnsi="Calibri" w:cs="Times New Roman"/>
          <w:sz w:val="24"/>
          <w:szCs w:val="24"/>
        </w:rPr>
        <w:t xml:space="preserve"> would </w:t>
      </w:r>
      <w:r w:rsidR="005F46E2">
        <w:rPr>
          <w:rFonts w:ascii="Calibri" w:eastAsia="Calibri" w:hAnsi="Calibri" w:cs="Times New Roman"/>
          <w:sz w:val="24"/>
          <w:szCs w:val="24"/>
        </w:rPr>
        <w:t>follow some such equation as:</w:t>
      </w:r>
    </w:p>
    <w:p w14:paraId="73E58EA9" w14:textId="489EDAD6" w:rsidR="005F46E2" w:rsidRDefault="005F46E2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</w:p>
    <w:p w14:paraId="113E1DE2" w14:textId="1447C118" w:rsidR="005F46E2" w:rsidRDefault="00727000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  <w:r w:rsidRPr="005F46E2">
        <w:rPr>
          <w:rFonts w:ascii="Calibri" w:eastAsia="Calibri" w:hAnsi="Calibri" w:cs="Times New Roman"/>
          <w:position w:val="-12"/>
          <w:sz w:val="24"/>
          <w:szCs w:val="24"/>
        </w:rPr>
        <w:object w:dxaOrig="3320" w:dyaOrig="360" w14:anchorId="2C997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6.1pt;height:18.3pt" o:ole="">
            <v:imagedata r:id="rId4" o:title=""/>
          </v:shape>
          <o:OLEObject Type="Embed" ProgID="Equation.DSMT4" ShapeID="_x0000_i1025" DrawAspect="Content" ObjectID="_1627407071" r:id="rId5"/>
        </w:object>
      </w:r>
      <w:r w:rsidR="005F46E2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27E38906" w14:textId="77777777" w:rsidR="0045036C" w:rsidRDefault="0045036C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</w:p>
    <w:p w14:paraId="3E632534" w14:textId="77777777" w:rsidR="005F46E2" w:rsidRDefault="0045036C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But we may hope to identify a set of quantities q</w:t>
      </w:r>
      <w:r>
        <w:rPr>
          <w:rFonts w:ascii="Calibri" w:eastAsia="Calibri" w:hAnsi="Calibri" w:cs="Times New Roman"/>
          <w:sz w:val="24"/>
          <w:szCs w:val="24"/>
          <w:vertAlign w:val="subscript"/>
        </w:rPr>
        <w:t>n</w:t>
      </w:r>
      <w:r>
        <w:rPr>
          <w:rFonts w:ascii="Calibri" w:eastAsia="Calibri" w:hAnsi="Calibri" w:cs="Times New Roman"/>
          <w:sz w:val="24"/>
          <w:szCs w:val="24"/>
        </w:rPr>
        <w:t xml:space="preserve">(L), like </w:t>
      </w:r>
      <w:r w:rsidR="001E2440">
        <w:rPr>
          <w:rFonts w:ascii="Calibri" w:eastAsia="Calibri" w:hAnsi="Calibri" w:cs="Times New Roman"/>
          <w:sz w:val="24"/>
          <w:szCs w:val="24"/>
        </w:rPr>
        <w:t>g(L), or maybe getting ahead of ourselves &lt;g</w:t>
      </w:r>
      <w:r w:rsidR="00990D82">
        <w:rPr>
          <w:rFonts w:ascii="Calibri" w:eastAsia="Calibri" w:hAnsi="Calibri" w:cs="Times New Roman"/>
          <w:sz w:val="24"/>
          <w:szCs w:val="24"/>
        </w:rPr>
        <w:t>(L)</w:t>
      </w:r>
      <w:r w:rsidR="001E2440">
        <w:rPr>
          <w:rFonts w:ascii="Calibri" w:eastAsia="Calibri" w:hAnsi="Calibri" w:cs="Times New Roman"/>
          <w:sz w:val="24"/>
          <w:szCs w:val="24"/>
        </w:rPr>
        <w:t>&gt;</w:t>
      </w:r>
      <w:r w:rsidR="001E2440">
        <w:rPr>
          <w:rFonts w:ascii="Calibri" w:eastAsia="Calibri" w:hAnsi="Calibri" w:cs="Times New Roman"/>
          <w:sz w:val="24"/>
          <w:szCs w:val="24"/>
          <w:vertAlign w:val="subscript"/>
        </w:rPr>
        <w:t>n</w:t>
      </w:r>
      <w:r w:rsidR="001E2440">
        <w:rPr>
          <w:rFonts w:ascii="Calibri" w:eastAsia="Calibri" w:hAnsi="Calibri" w:cs="Times New Roman"/>
          <w:sz w:val="24"/>
          <w:szCs w:val="24"/>
        </w:rPr>
        <w:t>, possibly quantities like E</w:t>
      </w:r>
      <w:r w:rsidR="001E2440">
        <w:rPr>
          <w:rFonts w:ascii="Calibri" w:eastAsia="Calibri" w:hAnsi="Calibri" w:cs="Times New Roman"/>
          <w:sz w:val="24"/>
          <w:szCs w:val="24"/>
          <w:vertAlign w:val="subscript"/>
        </w:rPr>
        <w:t>n</w:t>
      </w:r>
      <w:r w:rsidR="001E2440">
        <w:rPr>
          <w:rFonts w:ascii="Calibri" w:eastAsia="Calibri" w:hAnsi="Calibri" w:cs="Times New Roman"/>
          <w:sz w:val="24"/>
          <w:szCs w:val="24"/>
        </w:rPr>
        <w:t>(L),</w:t>
      </w:r>
      <w:r w:rsidR="00990D82">
        <w:rPr>
          <w:rFonts w:ascii="Calibri" w:eastAsia="Calibri" w:hAnsi="Calibri" w:cs="Times New Roman"/>
          <w:sz w:val="24"/>
          <w:szCs w:val="24"/>
        </w:rPr>
        <w:t xml:space="preserve"> or </w:t>
      </w:r>
      <w:r w:rsidR="008E3077">
        <w:rPr>
          <w:rFonts w:ascii="Calibri" w:eastAsia="Calibri" w:hAnsi="Calibri" w:cs="Times New Roman"/>
          <w:sz w:val="24"/>
          <w:szCs w:val="24"/>
        </w:rPr>
        <w:t xml:space="preserve">IPR(L) = </w:t>
      </w:r>
      <w:r w:rsidR="00990D82">
        <w:rPr>
          <w:rFonts w:ascii="Calibri" w:eastAsia="Calibri" w:hAnsi="Calibri" w:cs="Calibri"/>
          <w:sz w:val="24"/>
          <w:szCs w:val="24"/>
        </w:rPr>
        <w:t>Σ</w:t>
      </w:r>
      <w:r w:rsidR="00990D82">
        <w:rPr>
          <w:rFonts w:ascii="Calibri" w:eastAsia="Calibri" w:hAnsi="Calibri" w:cs="Calibri"/>
          <w:sz w:val="24"/>
          <w:szCs w:val="24"/>
          <w:vertAlign w:val="subscript"/>
        </w:rPr>
        <w:t>n</w:t>
      </w:r>
      <w:r w:rsidR="00990D82">
        <w:rPr>
          <w:rFonts w:ascii="Calibri" w:eastAsia="Calibri" w:hAnsi="Calibri" w:cs="Times New Roman"/>
          <w:sz w:val="24"/>
          <w:szCs w:val="24"/>
        </w:rPr>
        <w:t>IPR(</w:t>
      </w:r>
      <w:r w:rsidR="00990D82" w:rsidRPr="00990D82">
        <w:rPr>
          <w:rFonts w:ascii="Calibri" w:eastAsia="Calibri" w:hAnsi="Calibri" w:cs="Calibri"/>
          <w:sz w:val="24"/>
          <w:szCs w:val="24"/>
        </w:rPr>
        <w:t>ψ</w:t>
      </w:r>
      <w:r w:rsidR="00990D82" w:rsidRPr="00990D82">
        <w:rPr>
          <w:rFonts w:ascii="Calibri" w:eastAsia="Calibri" w:hAnsi="Calibri" w:cs="Calibri"/>
          <w:sz w:val="24"/>
          <w:szCs w:val="24"/>
          <w:vertAlign w:val="subscript"/>
        </w:rPr>
        <w:t>n</w:t>
      </w:r>
      <w:r w:rsidR="00990D82">
        <w:rPr>
          <w:rFonts w:ascii="Calibri" w:eastAsia="Calibri" w:hAnsi="Calibri" w:cs="Calibri"/>
          <w:sz w:val="24"/>
          <w:szCs w:val="24"/>
        </w:rPr>
        <w:t>(</w:t>
      </w:r>
      <w:r w:rsidR="00990D82" w:rsidRPr="00990D82">
        <w:rPr>
          <w:rFonts w:ascii="Calibri" w:eastAsia="Calibri" w:hAnsi="Calibri" w:cs="Times New Roman"/>
          <w:sz w:val="24"/>
          <w:szCs w:val="24"/>
        </w:rPr>
        <w:t>L</w:t>
      </w:r>
      <w:r w:rsidR="00990D82">
        <w:rPr>
          <w:rFonts w:ascii="Calibri" w:eastAsia="Calibri" w:hAnsi="Calibri" w:cs="Times New Roman"/>
          <w:sz w:val="24"/>
          <w:szCs w:val="24"/>
        </w:rPr>
        <w:t>))</w:t>
      </w:r>
      <w:r w:rsidR="001E2440">
        <w:rPr>
          <w:rFonts w:ascii="Calibri" w:eastAsia="Calibri" w:hAnsi="Calibri" w:cs="Times New Roman"/>
          <w:sz w:val="24"/>
          <w:szCs w:val="24"/>
        </w:rPr>
        <w:t xml:space="preserve"> whatever.  Then the question is can we write a </w:t>
      </w:r>
      <w:r w:rsidR="00990D82">
        <w:rPr>
          <w:rFonts w:ascii="Calibri" w:eastAsia="Calibri" w:hAnsi="Calibri" w:cs="Times New Roman"/>
          <w:sz w:val="24"/>
          <w:szCs w:val="24"/>
        </w:rPr>
        <w:t xml:space="preserve">self-consistent </w:t>
      </w:r>
      <w:r w:rsidR="001E2440">
        <w:rPr>
          <w:rFonts w:ascii="Calibri" w:eastAsia="Calibri" w:hAnsi="Calibri" w:cs="Times New Roman"/>
          <w:sz w:val="24"/>
          <w:szCs w:val="24"/>
        </w:rPr>
        <w:t xml:space="preserve">relationship for these, like is done for T and h? </w:t>
      </w:r>
      <w:r w:rsidR="005F46E2">
        <w:rPr>
          <w:rFonts w:ascii="Calibri" w:eastAsia="Calibri" w:hAnsi="Calibri" w:cs="Times New Roman"/>
          <w:sz w:val="24"/>
          <w:szCs w:val="24"/>
        </w:rPr>
        <w:t xml:space="preserve"> One possibility is to write:</w:t>
      </w:r>
    </w:p>
    <w:p w14:paraId="48049CD1" w14:textId="17DE516E" w:rsidR="005F46E2" w:rsidRDefault="005F46E2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</w:p>
    <w:p w14:paraId="46E6A7E7" w14:textId="52CE37A8" w:rsidR="005F46E2" w:rsidRDefault="005F46E2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  <w:r w:rsidRPr="005F7999">
        <w:rPr>
          <w:position w:val="-16"/>
        </w:rPr>
        <w:object w:dxaOrig="2180" w:dyaOrig="400" w14:anchorId="45C2BB59">
          <v:shape id="_x0000_i1026" type="#_x0000_t75" style="width:109.25pt;height:19.6pt" o:ole="">
            <v:imagedata r:id="rId6" o:title=""/>
          </v:shape>
          <o:OLEObject Type="Embed" ProgID="Equation.DSMT4" ShapeID="_x0000_i1026" DrawAspect="Content" ObjectID="_1627407072" r:id="rId7"/>
        </w:object>
      </w:r>
    </w:p>
    <w:p w14:paraId="5FC9C738" w14:textId="77777777" w:rsidR="005F46E2" w:rsidRDefault="005F46E2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</w:p>
    <w:p w14:paraId="7865456A" w14:textId="5AD1E573" w:rsidR="001E2440" w:rsidRPr="002F7BE2" w:rsidRDefault="005F46E2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where f</w:t>
      </w:r>
      <w:r>
        <w:rPr>
          <w:rFonts w:ascii="Calibri" w:eastAsia="Calibri" w:hAnsi="Calibri" w:cs="Times New Roman"/>
          <w:sz w:val="24"/>
          <w:szCs w:val="24"/>
          <w:vertAlign w:val="subscript"/>
        </w:rPr>
        <w:t>n</w:t>
      </w:r>
      <w:r>
        <w:rPr>
          <w:rFonts w:ascii="Calibri" w:eastAsia="Calibri" w:hAnsi="Calibri" w:cs="Times New Roman"/>
          <w:sz w:val="24"/>
          <w:szCs w:val="24"/>
        </w:rPr>
        <w:t xml:space="preserve"> are pure number function so that all physically meaniful parameters appear only within the q</w:t>
      </w:r>
      <w:r>
        <w:rPr>
          <w:rFonts w:ascii="Calibri" w:eastAsia="Calibri" w:hAnsi="Calibri" w:cs="Times New Roman"/>
          <w:sz w:val="24"/>
          <w:szCs w:val="24"/>
          <w:vertAlign w:val="subscript"/>
        </w:rPr>
        <w:t>j</w:t>
      </w:r>
      <w:r>
        <w:rPr>
          <w:rFonts w:ascii="Calibri" w:eastAsia="Calibri" w:hAnsi="Calibri" w:cs="Times New Roman"/>
          <w:sz w:val="24"/>
          <w:szCs w:val="24"/>
        </w:rPr>
        <w:t>(L</w:t>
      </w:r>
      <w:r>
        <w:rPr>
          <w:rFonts w:ascii="Calibri" w:eastAsia="Calibri" w:hAnsi="Calibri" w:cs="Times New Roman"/>
          <w:sz w:val="24"/>
          <w:szCs w:val="24"/>
          <w:vertAlign w:val="subscript"/>
        </w:rPr>
        <w:t>0</w:t>
      </w:r>
      <w:r>
        <w:rPr>
          <w:rFonts w:ascii="Calibri" w:eastAsia="Calibri" w:hAnsi="Calibri" w:cs="Times New Roman"/>
          <w:sz w:val="24"/>
          <w:szCs w:val="24"/>
        </w:rPr>
        <w:t>).  This is a necessary condition for our ultimate aim, but not sufficient (see that other file for explorations of the difference).  What we want is a scaling relationship like we have in SM for the Ferromagnet problem:</w:t>
      </w:r>
    </w:p>
    <w:p w14:paraId="4BDE7FAA" w14:textId="31D48A01" w:rsidR="001E2440" w:rsidRDefault="001E2440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</w:p>
    <w:p w14:paraId="41BF1BC2" w14:textId="167D6FE8" w:rsidR="001E2440" w:rsidRDefault="00990D82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  <w:r w:rsidRPr="001E2440">
        <w:rPr>
          <w:rFonts w:ascii="Calibri" w:eastAsia="Calibri" w:hAnsi="Calibri" w:cs="Times New Roman"/>
          <w:position w:val="-16"/>
          <w:sz w:val="24"/>
          <w:szCs w:val="24"/>
        </w:rPr>
        <w:object w:dxaOrig="2180" w:dyaOrig="400" w14:anchorId="064F4FBD">
          <v:shape id="_x0000_i1027" type="#_x0000_t75" style="width:109.25pt;height:19.6pt" o:ole="" filled="t" fillcolor="#ffc">
            <v:imagedata r:id="rId8" o:title=""/>
          </v:shape>
          <o:OLEObject Type="Embed" ProgID="Equation.DSMT4" ShapeID="_x0000_i1027" DrawAspect="Content" ObjectID="_1627407073" r:id="rId9"/>
        </w:object>
      </w:r>
      <w:r w:rsidR="001E2440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653ADFF6" w14:textId="1EAEC18D" w:rsidR="005F46E2" w:rsidRDefault="005F46E2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</w:p>
    <w:p w14:paraId="7136E14D" w14:textId="78EDF711" w:rsidR="002F7BE2" w:rsidRDefault="002F7BE2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From here a general RG equation would emerge:</w:t>
      </w:r>
    </w:p>
    <w:p w14:paraId="5C2C4E58" w14:textId="2AC679E2" w:rsidR="002F7BE2" w:rsidRDefault="002F7BE2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</w:p>
    <w:p w14:paraId="1B3EACDE" w14:textId="2BA20622" w:rsidR="002F7BE2" w:rsidRDefault="00990D82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  <w:r w:rsidRPr="00990D82">
        <w:rPr>
          <w:rFonts w:ascii="Calibri" w:eastAsia="Calibri" w:hAnsi="Calibri" w:cs="Times New Roman"/>
          <w:position w:val="-96"/>
          <w:sz w:val="24"/>
          <w:szCs w:val="24"/>
        </w:rPr>
        <w:object w:dxaOrig="4900" w:dyaOrig="1820" w14:anchorId="11CAC937">
          <v:shape id="_x0000_i1028" type="#_x0000_t75" style="width:245.05pt;height:90.95pt" o:ole="">
            <v:imagedata r:id="rId10" o:title=""/>
          </v:shape>
          <o:OLEObject Type="Embed" ProgID="Equation.DSMT4" ShapeID="_x0000_i1028" DrawAspect="Content" ObjectID="_1627407074" r:id="rId11"/>
        </w:object>
      </w:r>
    </w:p>
    <w:p w14:paraId="49518E7E" w14:textId="58D4597B" w:rsidR="002F7BE2" w:rsidRDefault="002F7BE2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</w:p>
    <w:p w14:paraId="65799820" w14:textId="19784CE1" w:rsidR="002F7BE2" w:rsidRDefault="00990D82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and,</w:t>
      </w:r>
    </w:p>
    <w:p w14:paraId="372A1082" w14:textId="63C80A9D" w:rsidR="00990D82" w:rsidRDefault="00990D82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</w:p>
    <w:p w14:paraId="0C4C1C81" w14:textId="02591A2C" w:rsidR="00990D82" w:rsidRDefault="00990D82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  <w:r w:rsidRPr="005F7999">
        <w:rPr>
          <w:position w:val="-24"/>
        </w:rPr>
        <w:object w:dxaOrig="2040" w:dyaOrig="620" w14:anchorId="385060FE">
          <v:shape id="_x0000_i1029" type="#_x0000_t75" style="width:102.3pt;height:30.95pt" o:ole="" filled="t" fillcolor="#ffc">
            <v:imagedata r:id="rId12" o:title=""/>
          </v:shape>
          <o:OLEObject Type="Embed" ProgID="Equation.DSMT4" ShapeID="_x0000_i1029" DrawAspect="Content" ObjectID="_1627407075" r:id="rId13"/>
        </w:object>
      </w:r>
    </w:p>
    <w:p w14:paraId="16AAF66F" w14:textId="37BCB633" w:rsidR="002F7BE2" w:rsidRDefault="002F7BE2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</w:p>
    <w:p w14:paraId="10D5ED19" w14:textId="4169C375" w:rsidR="002F7BE2" w:rsidRDefault="00776A68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The function </w:t>
      </w:r>
      <w:r>
        <w:rPr>
          <w:rFonts w:ascii="Calibri" w:eastAsia="Calibri" w:hAnsi="Calibri" w:cs="Calibri"/>
          <w:sz w:val="24"/>
          <w:szCs w:val="24"/>
        </w:rPr>
        <w:t>β</w:t>
      </w:r>
      <w:r>
        <w:rPr>
          <w:rFonts w:ascii="Calibri" w:eastAsia="Calibri" w:hAnsi="Calibri" w:cs="Times New Roman"/>
          <w:sz w:val="24"/>
          <w:szCs w:val="24"/>
          <w:vertAlign w:val="subscript"/>
        </w:rPr>
        <w:t>n</w:t>
      </w:r>
      <w:r>
        <w:rPr>
          <w:rFonts w:ascii="Calibri" w:eastAsia="Calibri" w:hAnsi="Calibri" w:cs="Times New Roman"/>
          <w:sz w:val="24"/>
          <w:szCs w:val="24"/>
        </w:rPr>
        <w:t xml:space="preserve">(x) would be presumed to be pure #.  </w:t>
      </w:r>
      <w:r w:rsidR="002F7BE2">
        <w:rPr>
          <w:rFonts w:ascii="Calibri" w:eastAsia="Calibri" w:hAnsi="Calibri" w:cs="Times New Roman"/>
          <w:sz w:val="24"/>
          <w:szCs w:val="24"/>
        </w:rPr>
        <w:t>Hopefully, also, g(L) would be one of these parameters, or could be obtained from them…in which case I guess it could be considered one of them.  Then we might look for a fixed poin</w:t>
      </w:r>
      <w:r w:rsidR="00990D82">
        <w:rPr>
          <w:rFonts w:ascii="Calibri" w:eastAsia="Calibri" w:hAnsi="Calibri" w:cs="Times New Roman"/>
          <w:sz w:val="24"/>
          <w:szCs w:val="24"/>
        </w:rPr>
        <w:t>t, which we could call q</w:t>
      </w:r>
      <w:r w:rsidR="00990D82">
        <w:rPr>
          <w:rFonts w:ascii="Calibri" w:eastAsia="Calibri" w:hAnsi="Calibri" w:cs="Times New Roman"/>
          <w:sz w:val="24"/>
          <w:szCs w:val="24"/>
          <w:vertAlign w:val="subscript"/>
        </w:rPr>
        <w:t>j</w:t>
      </w:r>
      <w:r w:rsidR="00990D82">
        <w:rPr>
          <w:rFonts w:ascii="Calibri" w:eastAsia="Calibri" w:hAnsi="Calibri" w:cs="Times New Roman"/>
          <w:sz w:val="24"/>
          <w:szCs w:val="24"/>
          <w:vertAlign w:val="superscript"/>
        </w:rPr>
        <w:t>*</w:t>
      </w:r>
      <w:r w:rsidR="00990D82">
        <w:rPr>
          <w:rFonts w:ascii="Calibri" w:eastAsia="Calibri" w:hAnsi="Calibri" w:cs="Times New Roman"/>
          <w:sz w:val="24"/>
          <w:szCs w:val="24"/>
        </w:rPr>
        <w:t xml:space="preserve">.  This would be a scale invariant point, and would indicate that these quantities are invariant at the fixed point.  </w:t>
      </w:r>
      <w:r w:rsidR="00990D82" w:rsidRPr="00990D82">
        <w:rPr>
          <w:rFonts w:ascii="Calibri" w:eastAsia="Calibri" w:hAnsi="Calibri" w:cs="Times New Roman"/>
          <w:color w:val="FF0000"/>
          <w:sz w:val="24"/>
          <w:szCs w:val="24"/>
        </w:rPr>
        <w:t>Is there any reason, at this point, why we might suppose g, or any of its moments</w:t>
      </w:r>
      <w:r w:rsidR="00990D82">
        <w:rPr>
          <w:rFonts w:ascii="Calibri" w:eastAsia="Calibri" w:hAnsi="Calibri" w:cs="Times New Roman"/>
          <w:color w:val="FF0000"/>
          <w:sz w:val="24"/>
          <w:szCs w:val="24"/>
        </w:rPr>
        <w:t xml:space="preserve">, or any other quantity like </w:t>
      </w:r>
      <w:r w:rsidR="008E3077">
        <w:rPr>
          <w:rFonts w:ascii="Calibri" w:eastAsia="Calibri" w:hAnsi="Calibri" w:cs="Times New Roman"/>
          <w:color w:val="FF0000"/>
          <w:sz w:val="24"/>
          <w:szCs w:val="24"/>
        </w:rPr>
        <w:t>IPR(L)</w:t>
      </w:r>
      <w:r w:rsidR="00990D82" w:rsidRPr="00990D82">
        <w:rPr>
          <w:rFonts w:ascii="Calibri" w:eastAsia="Calibri" w:hAnsi="Calibri" w:cs="Times New Roman"/>
          <w:color w:val="FF0000"/>
          <w:sz w:val="24"/>
          <w:szCs w:val="24"/>
        </w:rPr>
        <w:t xml:space="preserve"> to </w:t>
      </w:r>
      <w:r w:rsidR="00990D82">
        <w:rPr>
          <w:rFonts w:ascii="Calibri" w:eastAsia="Calibri" w:hAnsi="Calibri" w:cs="Times New Roman"/>
          <w:color w:val="FF0000"/>
          <w:sz w:val="24"/>
          <w:szCs w:val="24"/>
        </w:rPr>
        <w:t>have such a point?</w:t>
      </w:r>
      <w:r w:rsidR="00990D82">
        <w:rPr>
          <w:rFonts w:ascii="Calibri" w:eastAsia="Calibri" w:hAnsi="Calibri" w:cs="Times New Roman"/>
          <w:sz w:val="24"/>
          <w:szCs w:val="24"/>
        </w:rPr>
        <w:t xml:space="preserve">  </w:t>
      </w:r>
      <w:r w:rsidR="008E3077">
        <w:rPr>
          <w:rFonts w:ascii="Calibri" w:eastAsia="Calibri" w:hAnsi="Calibri" w:cs="Times New Roman"/>
          <w:sz w:val="24"/>
          <w:szCs w:val="24"/>
        </w:rPr>
        <w:t xml:space="preserve">Regardless, </w:t>
      </w:r>
      <w:r w:rsidR="00990D82">
        <w:rPr>
          <w:rFonts w:ascii="Calibri" w:eastAsia="Calibri" w:hAnsi="Calibri" w:cs="Times New Roman"/>
          <w:sz w:val="24"/>
          <w:szCs w:val="24"/>
        </w:rPr>
        <w:t>we might linearize around this fixed point</w:t>
      </w:r>
      <w:r w:rsidR="008E3077">
        <w:rPr>
          <w:rFonts w:ascii="Calibri" w:eastAsia="Calibri" w:hAnsi="Calibri" w:cs="Times New Roman"/>
          <w:sz w:val="24"/>
          <w:szCs w:val="24"/>
        </w:rPr>
        <w:t>, and find:</w:t>
      </w:r>
    </w:p>
    <w:p w14:paraId="451B8369" w14:textId="5E21CC2F" w:rsidR="008E3077" w:rsidRDefault="008E3077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</w:p>
    <w:p w14:paraId="51A31FA2" w14:textId="35B239E0" w:rsidR="008E3077" w:rsidRDefault="008E3077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  <w:r w:rsidRPr="005F7999">
        <w:rPr>
          <w:position w:val="-24"/>
        </w:rPr>
        <w:object w:dxaOrig="3120" w:dyaOrig="620" w14:anchorId="48298361">
          <v:shape id="_x0000_i1030" type="#_x0000_t75" style="width:156pt;height:30.95pt" o:ole="" fillcolor="#ffc">
            <v:imagedata r:id="rId14" o:title=""/>
          </v:shape>
          <o:OLEObject Type="Embed" ProgID="Equation.DSMT4" ShapeID="_x0000_i1030" DrawAspect="Content" ObjectID="_1627407076" r:id="rId15"/>
        </w:object>
      </w:r>
    </w:p>
    <w:p w14:paraId="23D89DC6" w14:textId="1163272F" w:rsidR="008E3077" w:rsidRDefault="008E3077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</w:p>
    <w:p w14:paraId="23E303A1" w14:textId="612EDB27" w:rsidR="008E3077" w:rsidRDefault="00E225FF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then define new variables:</w:t>
      </w:r>
    </w:p>
    <w:p w14:paraId="22A62FBE" w14:textId="4993AF50" w:rsidR="008E3077" w:rsidRDefault="008E3077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</w:p>
    <w:p w14:paraId="41B9676E" w14:textId="5D9A528A" w:rsidR="008E3077" w:rsidRDefault="008E3077" w:rsidP="009342D7">
      <w:pPr>
        <w:pStyle w:val="NoSpacing"/>
      </w:pPr>
      <w:r w:rsidRPr="005F7999">
        <w:rPr>
          <w:position w:val="-24"/>
        </w:rPr>
        <w:object w:dxaOrig="7160" w:dyaOrig="620" w14:anchorId="2A176E6C">
          <v:shape id="_x0000_i1031" type="#_x0000_t75" style="width:358.1pt;height:30.95pt" o:ole="" fillcolor="#ffc">
            <v:imagedata r:id="rId16" o:title=""/>
          </v:shape>
          <o:OLEObject Type="Embed" ProgID="Equation.DSMT4" ShapeID="_x0000_i1031" DrawAspect="Content" ObjectID="_1627407077" r:id="rId17"/>
        </w:object>
      </w:r>
    </w:p>
    <w:p w14:paraId="5D616016" w14:textId="7CF79AC0" w:rsidR="00E225FF" w:rsidRDefault="00E225FF" w:rsidP="009342D7">
      <w:pPr>
        <w:pStyle w:val="NoSpacing"/>
        <w:rPr>
          <w:sz w:val="24"/>
          <w:szCs w:val="24"/>
        </w:rPr>
      </w:pPr>
    </w:p>
    <w:p w14:paraId="41F8AA17" w14:textId="31B2A2BE" w:rsidR="00E225FF" w:rsidRDefault="00E225FF" w:rsidP="009342D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Multiply through,</w:t>
      </w:r>
    </w:p>
    <w:p w14:paraId="2D1A0DEB" w14:textId="5B94CCDE" w:rsidR="00E225FF" w:rsidRDefault="00E225FF" w:rsidP="009342D7">
      <w:pPr>
        <w:pStyle w:val="NoSpacing"/>
        <w:rPr>
          <w:sz w:val="24"/>
          <w:szCs w:val="24"/>
        </w:rPr>
      </w:pPr>
    </w:p>
    <w:p w14:paraId="768456B2" w14:textId="6A1CB91B" w:rsidR="00E225FF" w:rsidRDefault="00776A68" w:rsidP="009342D7">
      <w:pPr>
        <w:pStyle w:val="NoSpacing"/>
      </w:pPr>
      <w:r w:rsidRPr="00E225FF">
        <w:rPr>
          <w:position w:val="-110"/>
        </w:rPr>
        <w:object w:dxaOrig="6680" w:dyaOrig="2320" w14:anchorId="25C4E152">
          <v:shape id="_x0000_i1032" type="#_x0000_t75" style="width:334.1pt;height:116.2pt" o:ole="" fillcolor="#ffc">
            <v:imagedata r:id="rId18" o:title=""/>
          </v:shape>
          <o:OLEObject Type="Embed" ProgID="Equation.DSMT4" ShapeID="_x0000_i1032" DrawAspect="Content" ObjectID="_1627407078" r:id="rId19"/>
        </w:object>
      </w:r>
    </w:p>
    <w:p w14:paraId="387983E9" w14:textId="28C662AE" w:rsidR="00E225FF" w:rsidRPr="00B94007" w:rsidRDefault="00E225FF" w:rsidP="009342D7">
      <w:pPr>
        <w:pStyle w:val="NoSpacing"/>
        <w:rPr>
          <w:sz w:val="24"/>
          <w:szCs w:val="24"/>
        </w:rPr>
      </w:pPr>
    </w:p>
    <w:p w14:paraId="5DC4694D" w14:textId="297EFB9F" w:rsidR="00E225FF" w:rsidRPr="00B94007" w:rsidRDefault="00E225FF" w:rsidP="009342D7">
      <w:pPr>
        <w:pStyle w:val="NoSpacing"/>
        <w:rPr>
          <w:rFonts w:ascii="Calibri" w:eastAsia="Calibri" w:hAnsi="Calibri" w:cs="Times New Roman"/>
          <w:sz w:val="28"/>
          <w:szCs w:val="28"/>
        </w:rPr>
      </w:pPr>
      <w:r w:rsidRPr="00B94007">
        <w:rPr>
          <w:sz w:val="24"/>
          <w:szCs w:val="24"/>
        </w:rPr>
        <w:t>and our q’s would be:</w:t>
      </w:r>
    </w:p>
    <w:p w14:paraId="22DD97DB" w14:textId="77777777" w:rsidR="008E3077" w:rsidRPr="00B94007" w:rsidRDefault="008E3077" w:rsidP="009342D7">
      <w:pPr>
        <w:pStyle w:val="NoSpacing"/>
        <w:rPr>
          <w:rFonts w:ascii="Calibri" w:eastAsia="Calibri" w:hAnsi="Calibri" w:cs="Times New Roman"/>
          <w:sz w:val="28"/>
          <w:szCs w:val="28"/>
        </w:rPr>
      </w:pPr>
    </w:p>
    <w:p w14:paraId="31A4CC1A" w14:textId="765E43EB" w:rsidR="008E3077" w:rsidRPr="00B94007" w:rsidRDefault="00776A68" w:rsidP="009342D7">
      <w:pPr>
        <w:pStyle w:val="NoSpacing"/>
        <w:rPr>
          <w:sz w:val="24"/>
          <w:szCs w:val="24"/>
        </w:rPr>
      </w:pPr>
      <w:r w:rsidRPr="00B94007">
        <w:rPr>
          <w:position w:val="-28"/>
          <w:sz w:val="24"/>
          <w:szCs w:val="24"/>
        </w:rPr>
        <w:object w:dxaOrig="2520" w:dyaOrig="540" w14:anchorId="55619B48">
          <v:shape id="_x0000_i1033" type="#_x0000_t75" style="width:126.3pt;height:27.15pt" o:ole="">
            <v:imagedata r:id="rId20" o:title=""/>
          </v:shape>
          <o:OLEObject Type="Embed" ProgID="Equation.DSMT4" ShapeID="_x0000_i1033" DrawAspect="Content" ObjectID="_1627407079" r:id="rId21"/>
        </w:object>
      </w:r>
    </w:p>
    <w:p w14:paraId="1496FA30" w14:textId="7F08CA04" w:rsidR="00B94007" w:rsidRPr="00B94007" w:rsidRDefault="00B94007" w:rsidP="009342D7">
      <w:pPr>
        <w:pStyle w:val="NoSpacing"/>
        <w:rPr>
          <w:sz w:val="24"/>
          <w:szCs w:val="24"/>
        </w:rPr>
      </w:pPr>
    </w:p>
    <w:p w14:paraId="0F3AFFB4" w14:textId="66E07D94" w:rsidR="00B94007" w:rsidRPr="00B94007" w:rsidRDefault="00B94007" w:rsidP="009342D7">
      <w:pPr>
        <w:pStyle w:val="NoSpacing"/>
        <w:rPr>
          <w:sz w:val="24"/>
          <w:szCs w:val="24"/>
        </w:rPr>
      </w:pPr>
      <w:r w:rsidRPr="00B94007">
        <w:rPr>
          <w:sz w:val="24"/>
          <w:szCs w:val="24"/>
        </w:rPr>
        <w:t>Solving for initial conditions:</w:t>
      </w:r>
    </w:p>
    <w:p w14:paraId="4D3E8908" w14:textId="731BD1D1" w:rsidR="00B94007" w:rsidRDefault="00B94007" w:rsidP="009342D7">
      <w:pPr>
        <w:pStyle w:val="NoSpacing"/>
      </w:pPr>
    </w:p>
    <w:p w14:paraId="0D4D3DEF" w14:textId="0417647F" w:rsidR="00B94007" w:rsidRDefault="00776A68" w:rsidP="009342D7">
      <w:pPr>
        <w:pStyle w:val="NoSpacing"/>
      </w:pPr>
      <w:r w:rsidRPr="00B94007">
        <w:rPr>
          <w:position w:val="-74"/>
        </w:rPr>
        <w:object w:dxaOrig="2340" w:dyaOrig="1600" w14:anchorId="674DA8CD">
          <v:shape id="_x0000_i1034" type="#_x0000_t75" style="width:116.85pt;height:79.6pt" o:ole="">
            <v:imagedata r:id="rId22" o:title=""/>
          </v:shape>
          <o:OLEObject Type="Embed" ProgID="Equation.DSMT4" ShapeID="_x0000_i1034" DrawAspect="Content" ObjectID="_1627407080" r:id="rId23"/>
        </w:object>
      </w:r>
    </w:p>
    <w:p w14:paraId="29415425" w14:textId="4A45DF04" w:rsidR="00B94007" w:rsidRDefault="00B94007" w:rsidP="009342D7">
      <w:pPr>
        <w:pStyle w:val="NoSpacing"/>
      </w:pPr>
    </w:p>
    <w:p w14:paraId="7589728B" w14:textId="3F6B03B8" w:rsidR="00B94007" w:rsidRPr="00B94007" w:rsidRDefault="00776A68" w:rsidP="009342D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But whatever.  </w:t>
      </w:r>
      <w:r w:rsidR="00B94007" w:rsidRPr="00B94007">
        <w:rPr>
          <w:sz w:val="24"/>
          <w:szCs w:val="24"/>
        </w:rPr>
        <w:t>So then we have:</w:t>
      </w:r>
    </w:p>
    <w:p w14:paraId="35A5B4C1" w14:textId="31141A12" w:rsidR="00B94007" w:rsidRDefault="00B94007" w:rsidP="009342D7">
      <w:pPr>
        <w:pStyle w:val="NoSpacing"/>
      </w:pPr>
    </w:p>
    <w:p w14:paraId="52216E03" w14:textId="6E7C984B" w:rsidR="00B94007" w:rsidRPr="00990D82" w:rsidRDefault="00727000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  <w:r w:rsidRPr="00776A68">
        <w:rPr>
          <w:position w:val="-50"/>
        </w:rPr>
        <w:object w:dxaOrig="6800" w:dyaOrig="1120" w14:anchorId="678638F6">
          <v:shape id="_x0000_i1035" type="#_x0000_t75" style="width:340.4pt;height:55.6pt" o:ole="">
            <v:imagedata r:id="rId24" o:title=""/>
          </v:shape>
          <o:OLEObject Type="Embed" ProgID="Equation.DSMT4" ShapeID="_x0000_i1035" DrawAspect="Content" ObjectID="_1627407081" r:id="rId25"/>
        </w:object>
      </w:r>
    </w:p>
    <w:p w14:paraId="5A3752CB" w14:textId="77777777" w:rsidR="002F7BE2" w:rsidRDefault="002F7BE2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</w:p>
    <w:p w14:paraId="0621D598" w14:textId="2FEABAB8" w:rsidR="00727000" w:rsidRPr="001D6CB2" w:rsidRDefault="00776A68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So the </w:t>
      </w:r>
      <w:r>
        <w:rPr>
          <w:rFonts w:ascii="Calibri" w:eastAsia="Calibri" w:hAnsi="Calibri" w:cs="Calibri"/>
          <w:sz w:val="24"/>
          <w:szCs w:val="24"/>
        </w:rPr>
        <w:t>ξ</w:t>
      </w:r>
      <w:r>
        <w:rPr>
          <w:rFonts w:ascii="Calibri" w:eastAsia="Calibri" w:hAnsi="Calibri" w:cs="Calibri"/>
          <w:sz w:val="24"/>
          <w:szCs w:val="24"/>
          <w:vertAlign w:val="subscript"/>
        </w:rPr>
        <w:t>α</w:t>
      </w:r>
      <w:r>
        <w:rPr>
          <w:rFonts w:ascii="Calibri" w:eastAsia="Calibri" w:hAnsi="Calibri" w:cs="Times New Roman"/>
          <w:sz w:val="24"/>
          <w:szCs w:val="24"/>
        </w:rPr>
        <w:t xml:space="preserve"> are various relevant length scales, and </w:t>
      </w:r>
      <w:r>
        <w:rPr>
          <w:rFonts w:ascii="Calibri" w:eastAsia="Calibri" w:hAnsi="Calibri" w:cs="Calibri"/>
          <w:sz w:val="24"/>
          <w:szCs w:val="24"/>
        </w:rPr>
        <w:t>λ</w:t>
      </w:r>
      <w:r>
        <w:rPr>
          <w:rFonts w:ascii="Calibri" w:eastAsia="Calibri" w:hAnsi="Calibri" w:cs="Calibri"/>
          <w:sz w:val="24"/>
          <w:szCs w:val="24"/>
          <w:vertAlign w:val="subscript"/>
        </w:rPr>
        <w:t>α</w:t>
      </w:r>
      <w:r>
        <w:rPr>
          <w:rFonts w:ascii="Calibri" w:eastAsia="Calibri" w:hAnsi="Calibri" w:cs="Times New Roman"/>
          <w:sz w:val="24"/>
          <w:szCs w:val="24"/>
        </w:rPr>
        <w:t xml:space="preserve"> the scaling exponents.  </w:t>
      </w:r>
      <w:r w:rsidR="0045036C">
        <w:rPr>
          <w:rFonts w:ascii="Calibri" w:eastAsia="Calibri" w:hAnsi="Calibri" w:cs="Times New Roman"/>
          <w:sz w:val="24"/>
          <w:szCs w:val="24"/>
        </w:rPr>
        <w:t xml:space="preserve">Some of these eigenvalues </w:t>
      </w:r>
      <w:r w:rsidR="0045036C">
        <w:rPr>
          <w:rFonts w:ascii="Calibri" w:eastAsia="Calibri" w:hAnsi="Calibri" w:cs="Calibri"/>
          <w:sz w:val="24"/>
          <w:szCs w:val="24"/>
        </w:rPr>
        <w:t>λ</w:t>
      </w:r>
      <w:r w:rsidR="0045036C">
        <w:rPr>
          <w:rFonts w:ascii="Calibri" w:eastAsia="Calibri" w:hAnsi="Calibri" w:cs="Calibri"/>
          <w:sz w:val="24"/>
          <w:szCs w:val="24"/>
          <w:vertAlign w:val="subscript"/>
        </w:rPr>
        <w:t>α</w:t>
      </w:r>
      <w:r w:rsidR="0045036C">
        <w:rPr>
          <w:rFonts w:ascii="Calibri" w:eastAsia="Calibri" w:hAnsi="Calibri" w:cs="Times New Roman"/>
          <w:sz w:val="24"/>
          <w:szCs w:val="24"/>
        </w:rPr>
        <w:t xml:space="preserve"> will be positive, some negative.  And there doesn’t seem to be a reason to expect any given outcome.  The positive ones would be ‘relevant’, and the negative ones ‘irrelevant’.  </w:t>
      </w:r>
      <w:r>
        <w:rPr>
          <w:rFonts w:ascii="Calibri" w:eastAsia="Calibri" w:hAnsi="Calibri" w:cs="Times New Roman"/>
          <w:sz w:val="24"/>
          <w:szCs w:val="24"/>
        </w:rPr>
        <w:t xml:space="preserve">If these are all negative except for one, then we may say that, at least close to the critical point, we have a one parameter scaling theory.  </w:t>
      </w:r>
      <w:r w:rsidR="0045036C">
        <w:rPr>
          <w:rFonts w:ascii="Calibri" w:eastAsia="Calibri" w:hAnsi="Calibri" w:cs="Times New Roman"/>
          <w:sz w:val="24"/>
          <w:szCs w:val="24"/>
        </w:rPr>
        <w:t xml:space="preserve">And there would be only one relevant length scale near the critical point.  </w:t>
      </w:r>
      <w:r w:rsidR="00727000">
        <w:rPr>
          <w:rFonts w:ascii="Calibri" w:eastAsia="Calibri" w:hAnsi="Calibri" w:cs="Times New Roman"/>
          <w:sz w:val="24"/>
          <w:szCs w:val="24"/>
        </w:rPr>
        <w:t xml:space="preserve">It is a question how close to the critical point we’d need to be, or how large our system would need to be, as the other parameters would be expected to play a role if we’re not close enough, large enough. </w:t>
      </w:r>
      <w:r w:rsidR="001D6CB2">
        <w:rPr>
          <w:rFonts w:ascii="Calibri" w:eastAsia="Calibri" w:hAnsi="Calibri" w:cs="Times New Roman"/>
          <w:sz w:val="24"/>
          <w:szCs w:val="24"/>
        </w:rPr>
        <w:t xml:space="preserve"> </w:t>
      </w:r>
      <w:r w:rsidR="00727000">
        <w:rPr>
          <w:rFonts w:ascii="Calibri" w:eastAsia="Calibri" w:hAnsi="Calibri" w:cs="Times New Roman"/>
          <w:sz w:val="24"/>
          <w:szCs w:val="24"/>
        </w:rPr>
        <w:t xml:space="preserve">Experimentally we could test this </w:t>
      </w:r>
      <w:r w:rsidR="001D6CB2">
        <w:rPr>
          <w:rFonts w:ascii="Calibri" w:eastAsia="Calibri" w:hAnsi="Calibri" w:cs="Times New Roman"/>
          <w:sz w:val="24"/>
          <w:szCs w:val="24"/>
        </w:rPr>
        <w:t xml:space="preserve">hypothesis by changing all of these parameters </w:t>
      </w:r>
      <w:r w:rsidR="001D6CB2">
        <w:rPr>
          <w:rFonts w:ascii="Calibri" w:eastAsia="Calibri" w:hAnsi="Calibri" w:cs="Calibri"/>
          <w:sz w:val="24"/>
          <w:szCs w:val="24"/>
        </w:rPr>
        <w:t>χ</w:t>
      </w:r>
      <w:r w:rsidR="001D6CB2">
        <w:rPr>
          <w:rFonts w:ascii="Calibri" w:eastAsia="Calibri" w:hAnsi="Calibri" w:cs="Times New Roman"/>
          <w:sz w:val="24"/>
          <w:szCs w:val="24"/>
        </w:rPr>
        <w:t xml:space="preserve"> and observing whether q, for instance, lies on a single curve.  </w:t>
      </w:r>
      <w:r w:rsidR="00C96446" w:rsidRPr="00C96446">
        <w:rPr>
          <w:rFonts w:ascii="Calibri" w:eastAsia="Calibri" w:hAnsi="Calibri" w:cs="Times New Roman"/>
          <w:color w:val="FF0000"/>
          <w:sz w:val="24"/>
          <w:szCs w:val="24"/>
        </w:rPr>
        <w:t>But, well, remember that this may be a multi-branch function, like how g = f(L/</w:t>
      </w:r>
      <w:r w:rsidR="00C96446" w:rsidRPr="00C96446">
        <w:rPr>
          <w:rFonts w:ascii="Calibri" w:eastAsia="Calibri" w:hAnsi="Calibri" w:cs="Calibri"/>
          <w:color w:val="FF0000"/>
          <w:sz w:val="24"/>
          <w:szCs w:val="24"/>
        </w:rPr>
        <w:t>ξ</w:t>
      </w:r>
      <w:r w:rsidR="00C96446" w:rsidRPr="00C96446">
        <w:rPr>
          <w:rFonts w:ascii="Calibri" w:eastAsia="Calibri" w:hAnsi="Calibri" w:cs="Times New Roman"/>
          <w:color w:val="FF0000"/>
          <w:sz w:val="24"/>
          <w:szCs w:val="24"/>
        </w:rPr>
        <w:t xml:space="preserve">), which has different forms on each side of the criticial point.  </w:t>
      </w:r>
    </w:p>
    <w:p w14:paraId="324DC526" w14:textId="6C91075D" w:rsidR="00776A68" w:rsidRDefault="00776A68" w:rsidP="009342D7">
      <w:pPr>
        <w:pStyle w:val="NoSpacing"/>
        <w:rPr>
          <w:rFonts w:ascii="Calibri" w:eastAsia="Calibri" w:hAnsi="Calibri" w:cs="Times New Roman"/>
          <w:sz w:val="24"/>
          <w:szCs w:val="24"/>
        </w:rPr>
      </w:pPr>
    </w:p>
    <w:p w14:paraId="51CF0345" w14:textId="4F9C8DAA" w:rsidR="009342D7" w:rsidRPr="008C2031" w:rsidRDefault="008C2031" w:rsidP="009342D7">
      <w:pPr>
        <w:pStyle w:val="NoSpacing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Do &lt;g(L)&gt;</w:t>
      </w:r>
      <w:r>
        <w:rPr>
          <w:rFonts w:ascii="Calibri" w:eastAsia="Calibri" w:hAnsi="Calibri" w:cs="Times New Roman"/>
          <w:b/>
          <w:sz w:val="32"/>
          <w:szCs w:val="32"/>
          <w:vertAlign w:val="subscript"/>
        </w:rPr>
        <w:t>n</w:t>
      </w:r>
      <w:r>
        <w:rPr>
          <w:rFonts w:ascii="Calibri" w:eastAsia="Calibri" w:hAnsi="Calibri" w:cs="Times New Roman"/>
          <w:b/>
          <w:sz w:val="32"/>
          <w:szCs w:val="32"/>
        </w:rPr>
        <w:t xml:space="preserve"> constitute a</w:t>
      </w:r>
      <w:r w:rsidR="00CD1C33">
        <w:rPr>
          <w:rFonts w:ascii="Calibri" w:eastAsia="Calibri" w:hAnsi="Calibri" w:cs="Times New Roman"/>
          <w:b/>
          <w:sz w:val="32"/>
          <w:szCs w:val="32"/>
        </w:rPr>
        <w:t xml:space="preserve">n at least multi-parameter </w:t>
      </w:r>
      <w:r>
        <w:rPr>
          <w:rFonts w:ascii="Calibri" w:eastAsia="Calibri" w:hAnsi="Calibri" w:cs="Times New Roman"/>
          <w:b/>
          <w:sz w:val="32"/>
          <w:szCs w:val="32"/>
        </w:rPr>
        <w:t>scaling theory</w:t>
      </w:r>
      <w:r w:rsidR="00CD1C33">
        <w:rPr>
          <w:rFonts w:ascii="Calibri" w:eastAsia="Calibri" w:hAnsi="Calibri" w:cs="Times New Roman"/>
          <w:b/>
          <w:sz w:val="32"/>
          <w:szCs w:val="32"/>
        </w:rPr>
        <w:t>, MPST</w:t>
      </w:r>
      <w:r>
        <w:rPr>
          <w:rFonts w:ascii="Calibri" w:eastAsia="Calibri" w:hAnsi="Calibri" w:cs="Times New Roman"/>
          <w:b/>
          <w:sz w:val="32"/>
          <w:szCs w:val="32"/>
        </w:rPr>
        <w:t>?</w:t>
      </w:r>
    </w:p>
    <w:p w14:paraId="3C0BECD6" w14:textId="5D164467" w:rsidR="001D6CB2" w:rsidRPr="001D6CB2" w:rsidRDefault="008C2031" w:rsidP="009342D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 first question is, ‘does a multi-parameter scaling theory hold?’  </w:t>
      </w:r>
      <w:r w:rsidR="001D6CB2">
        <w:rPr>
          <w:sz w:val="24"/>
          <w:szCs w:val="24"/>
        </w:rPr>
        <w:t>I seem to have mixed messages on this, mainly pertaining to the fact that g is a statistical variable with nontrivial cumulants, &lt;g&gt;</w:t>
      </w:r>
      <w:r w:rsidR="001D6CB2">
        <w:rPr>
          <w:sz w:val="24"/>
          <w:szCs w:val="24"/>
          <w:vertAlign w:val="subscript"/>
        </w:rPr>
        <w:t>n</w:t>
      </w:r>
      <w:r w:rsidR="001D6CB2">
        <w:rPr>
          <w:sz w:val="24"/>
          <w:szCs w:val="24"/>
        </w:rPr>
        <w:t>.  So one might provisionally hypothesize that &lt;g(L)&gt;</w:t>
      </w:r>
      <w:r w:rsidR="001D6CB2">
        <w:rPr>
          <w:sz w:val="24"/>
          <w:szCs w:val="24"/>
          <w:vertAlign w:val="subscript"/>
        </w:rPr>
        <w:t xml:space="preserve">n </w:t>
      </w:r>
      <w:r w:rsidR="001D6CB2">
        <w:rPr>
          <w:sz w:val="24"/>
          <w:szCs w:val="24"/>
        </w:rPr>
        <w:t>all form self-consistent set.  But the results of the NL</w:t>
      </w:r>
      <w:r w:rsidR="001D6CB2">
        <w:rPr>
          <w:rFonts w:ascii="Calibri" w:hAnsi="Calibri" w:cs="Calibri"/>
          <w:sz w:val="24"/>
          <w:szCs w:val="24"/>
        </w:rPr>
        <w:t>σ</w:t>
      </w:r>
      <w:r w:rsidR="001D6CB2">
        <w:rPr>
          <w:sz w:val="24"/>
          <w:szCs w:val="24"/>
        </w:rPr>
        <w:t xml:space="preserve">M, which showed length dependent cumulants at the critical point seemed to rule that out.  </w:t>
      </w:r>
      <w:r>
        <w:rPr>
          <w:sz w:val="24"/>
          <w:szCs w:val="24"/>
        </w:rPr>
        <w:t>Suslov and other guy argued for other possibilities – one that the NL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</w:rPr>
        <w:t xml:space="preserve">M was simply getting worse with larger </w:t>
      </w:r>
      <w:r>
        <w:rPr>
          <w:rFonts w:ascii="Calibri" w:hAnsi="Calibri" w:cs="Calibri"/>
          <w:sz w:val="24"/>
          <w:szCs w:val="24"/>
        </w:rPr>
        <w:t>ε</w:t>
      </w:r>
      <w:r>
        <w:rPr>
          <w:sz w:val="24"/>
          <w:szCs w:val="24"/>
        </w:rPr>
        <w:t xml:space="preserve">, since it did justify single parameter scaling when </w:t>
      </w:r>
      <w:r>
        <w:rPr>
          <w:rFonts w:ascii="Calibri" w:hAnsi="Calibri" w:cs="Calibri"/>
          <w:sz w:val="24"/>
          <w:szCs w:val="24"/>
        </w:rPr>
        <w:t>ε</w:t>
      </w:r>
      <w:r>
        <w:rPr>
          <w:sz w:val="24"/>
          <w:szCs w:val="24"/>
        </w:rPr>
        <w:t xml:space="preserve"> = 0.  Another possibility was a compromise position that accepted the results of NL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</w:rPr>
        <w:t xml:space="preserve">M but interpreted the divergence as due to a Cauchy-like critical distribution in 2 + </w:t>
      </w:r>
      <w:r>
        <w:rPr>
          <w:rFonts w:ascii="Calibri" w:hAnsi="Calibri" w:cs="Calibri"/>
          <w:sz w:val="24"/>
          <w:szCs w:val="24"/>
        </w:rPr>
        <w:t>ε</w:t>
      </w:r>
      <w:r>
        <w:rPr>
          <w:sz w:val="24"/>
          <w:szCs w:val="24"/>
        </w:rPr>
        <w:t xml:space="preserve"> dimensions.  But even this would seem to concede, to me, that the critical distribution wasn’t invariant, but merely scaled to a length-independent result, which still seems at odds with a real fixed point scaling theory.  Hmmm….</w:t>
      </w:r>
    </w:p>
    <w:p w14:paraId="38B7816A" w14:textId="677C4A65" w:rsidR="001D6CB2" w:rsidRDefault="001D6CB2" w:rsidP="009342D7">
      <w:pPr>
        <w:pStyle w:val="NoSpacing"/>
        <w:rPr>
          <w:sz w:val="24"/>
          <w:szCs w:val="24"/>
        </w:rPr>
      </w:pPr>
    </w:p>
    <w:p w14:paraId="263EF144" w14:textId="249F23AD" w:rsidR="00586B6E" w:rsidRPr="00586B6E" w:rsidRDefault="00586B6E" w:rsidP="009342D7">
      <w:pPr>
        <w:pStyle w:val="NoSpacing"/>
        <w:rPr>
          <w:b/>
          <w:sz w:val="32"/>
          <w:szCs w:val="32"/>
        </w:rPr>
      </w:pPr>
      <w:r w:rsidRPr="00586B6E">
        <w:rPr>
          <w:b/>
          <w:sz w:val="32"/>
          <w:szCs w:val="32"/>
        </w:rPr>
        <w:t>Do &lt;g(L)&gt;</w:t>
      </w:r>
      <w:r w:rsidRPr="00586B6E">
        <w:rPr>
          <w:b/>
          <w:sz w:val="32"/>
          <w:szCs w:val="32"/>
          <w:vertAlign w:val="subscript"/>
        </w:rPr>
        <w:t>n</w:t>
      </w:r>
      <w:r w:rsidRPr="00586B6E">
        <w:rPr>
          <w:b/>
          <w:sz w:val="32"/>
          <w:szCs w:val="32"/>
        </w:rPr>
        <w:t xml:space="preserve"> constitute a </w:t>
      </w:r>
      <w:r w:rsidR="00CD1C33">
        <w:rPr>
          <w:b/>
          <w:sz w:val="32"/>
          <w:szCs w:val="32"/>
        </w:rPr>
        <w:t>SPST</w:t>
      </w:r>
      <w:r w:rsidRPr="00586B6E">
        <w:rPr>
          <w:b/>
          <w:sz w:val="32"/>
          <w:szCs w:val="32"/>
        </w:rPr>
        <w:t>?</w:t>
      </w:r>
    </w:p>
    <w:p w14:paraId="27B71653" w14:textId="770FEA13" w:rsidR="00586B6E" w:rsidRDefault="00CD1C33" w:rsidP="009342D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Even if we concede they are a scaling theory, are they a single parameter scaling group?  We’d have to test that all cumulants depend on only one thing, which we might as well take to be &lt;g&gt; itself.  Analytical results in the weak disorder regime seem to bear it out so far, at least in Q1D.  </w:t>
      </w:r>
      <w:r w:rsidR="007F304A" w:rsidRPr="007F304A">
        <w:rPr>
          <w:sz w:val="24"/>
          <w:szCs w:val="24"/>
        </w:rPr>
        <w:t xml:space="preserve">I’ve seen people say that they’ve been able to verify that higher moments of P(g) can be written as function of &lt;g&gt; itself.   </w:t>
      </w:r>
    </w:p>
    <w:p w14:paraId="3F43526F" w14:textId="513E97AB" w:rsidR="00CD1C33" w:rsidRDefault="00CD1C33" w:rsidP="009342D7">
      <w:pPr>
        <w:pStyle w:val="NoSpacing"/>
        <w:rPr>
          <w:sz w:val="24"/>
          <w:szCs w:val="24"/>
        </w:rPr>
      </w:pPr>
    </w:p>
    <w:p w14:paraId="75407D1E" w14:textId="77777777" w:rsidR="00BC4BB2" w:rsidRPr="00BC4BB2" w:rsidRDefault="00BC4BB2" w:rsidP="00BC4BB2">
      <w:pPr>
        <w:pStyle w:val="NoSpacing"/>
        <w:rPr>
          <w:color w:val="FF0000"/>
          <w:sz w:val="24"/>
          <w:szCs w:val="24"/>
        </w:rPr>
      </w:pPr>
      <w:r w:rsidRPr="00BC4BB2">
        <w:rPr>
          <w:color w:val="FF0000"/>
          <w:sz w:val="24"/>
          <w:szCs w:val="24"/>
        </w:rPr>
        <w:t>Markos says that people have examined quartiles of the probability distribution P(g), and shown that they obey single parameter scaling.</w:t>
      </w:r>
    </w:p>
    <w:p w14:paraId="694D6B79" w14:textId="74B8C73A" w:rsidR="00BC4BB2" w:rsidRDefault="00BC4BB2" w:rsidP="009342D7">
      <w:pPr>
        <w:pStyle w:val="NoSpacing"/>
        <w:rPr>
          <w:sz w:val="24"/>
          <w:szCs w:val="24"/>
        </w:rPr>
      </w:pPr>
    </w:p>
    <w:p w14:paraId="7C740446" w14:textId="77777777" w:rsidR="00BC4BB2" w:rsidRPr="00BC4BB2" w:rsidRDefault="00BC4BB2" w:rsidP="00BC4BB2">
      <w:pPr>
        <w:pStyle w:val="NormalWeb"/>
        <w:spacing w:before="0" w:beforeAutospacing="0" w:after="0" w:afterAutospacing="0"/>
        <w:rPr>
          <w:color w:val="FF0000"/>
          <w:sz w:val="22"/>
          <w:szCs w:val="22"/>
        </w:rPr>
      </w:pPr>
      <w:r w:rsidRPr="00BC4BB2">
        <w:rPr>
          <w:rFonts w:asciiTheme="minorHAnsi" w:eastAsiaTheme="minorEastAsia" w:hAnsi="Calibri" w:cstheme="minorBidi"/>
          <w:color w:val="FF0000"/>
          <w:kern w:val="24"/>
        </w:rPr>
        <w:lastRenderedPageBreak/>
        <w:t xml:space="preserve">I have read somewhere that it might be that single parameter scaling only works for states with energies near the band center, for not-too-strong-disorder, and not too far from the transition (I guess this makes sense sort of since we our fixed point linearization is only accurate near the fixed point).  </w:t>
      </w:r>
    </w:p>
    <w:p w14:paraId="3E75BC3B" w14:textId="77777777" w:rsidR="00BC4BB2" w:rsidRDefault="00BC4BB2" w:rsidP="009342D7">
      <w:pPr>
        <w:pStyle w:val="NoSpacing"/>
        <w:rPr>
          <w:sz w:val="24"/>
          <w:szCs w:val="24"/>
        </w:rPr>
      </w:pPr>
      <w:bookmarkStart w:id="0" w:name="_GoBack"/>
      <w:bookmarkEnd w:id="0"/>
    </w:p>
    <w:p w14:paraId="64CFB152" w14:textId="780E2C29" w:rsidR="00CD1C33" w:rsidRPr="00CD1C33" w:rsidRDefault="00CD1C33" w:rsidP="009342D7">
      <w:pPr>
        <w:pStyle w:val="NoSpacing"/>
        <w:rPr>
          <w:b/>
          <w:sz w:val="32"/>
          <w:szCs w:val="32"/>
        </w:rPr>
      </w:pPr>
      <w:r w:rsidRPr="00CD1C33">
        <w:rPr>
          <w:b/>
          <w:sz w:val="32"/>
          <w:szCs w:val="32"/>
        </w:rPr>
        <w:t>Does &lt;g(L)&gt;, or &lt;lng(L)&gt;, or g</w:t>
      </w:r>
      <w:r w:rsidRPr="00CD1C33">
        <w:rPr>
          <w:b/>
          <w:sz w:val="32"/>
          <w:szCs w:val="32"/>
          <w:vertAlign w:val="subscript"/>
        </w:rPr>
        <w:t>most probable</w:t>
      </w:r>
      <w:r w:rsidRPr="00CD1C33">
        <w:rPr>
          <w:b/>
          <w:sz w:val="32"/>
          <w:szCs w:val="32"/>
        </w:rPr>
        <w:t xml:space="preserve">, etc., obey </w:t>
      </w:r>
      <w:r>
        <w:rPr>
          <w:b/>
          <w:sz w:val="32"/>
          <w:szCs w:val="32"/>
        </w:rPr>
        <w:t>SPST</w:t>
      </w:r>
      <w:r w:rsidRPr="00CD1C33">
        <w:rPr>
          <w:b/>
          <w:sz w:val="32"/>
          <w:szCs w:val="32"/>
        </w:rPr>
        <w:t>?</w:t>
      </w:r>
    </w:p>
    <w:p w14:paraId="023F5F89" w14:textId="18B72A40" w:rsidR="009342D7" w:rsidRPr="009342D7" w:rsidRDefault="009342D7" w:rsidP="009342D7">
      <w:pPr>
        <w:pStyle w:val="NoSpacing"/>
        <w:rPr>
          <w:sz w:val="24"/>
          <w:szCs w:val="24"/>
        </w:rPr>
      </w:pPr>
      <w:r w:rsidRPr="009342D7">
        <w:rPr>
          <w:sz w:val="24"/>
          <w:szCs w:val="24"/>
        </w:rPr>
        <w:t>MacKinnon claims that he finds &lt;g&gt; doesn’t really obey single parameter scaling.  And then he says that NLsM model would then be illegitimate because it’s a model of &lt;g&gt;.  This is how it makes such bad critical exponent predictions, he says.  I’m not sure where in the NLsM we make assumption that it is &lt;g&gt; we’re working with, rather than say g</w:t>
      </w:r>
      <w:r w:rsidRPr="009342D7">
        <w:rPr>
          <w:sz w:val="24"/>
          <w:szCs w:val="24"/>
          <w:vertAlign w:val="subscript"/>
        </w:rPr>
        <w:t>p</w:t>
      </w:r>
      <w:r w:rsidRPr="009342D7">
        <w:rPr>
          <w:sz w:val="24"/>
          <w:szCs w:val="24"/>
        </w:rPr>
        <w:t>, or something else.  Final note, it would seem we could still frame, in fact more naturally even, the SPS in terms of &lt;lng&gt;, rather than &lt;g&gt;, however.  See Lerner 1991 for a discussion of this point.</w:t>
      </w:r>
      <w:r w:rsidR="007F304A">
        <w:rPr>
          <w:sz w:val="24"/>
          <w:szCs w:val="24"/>
        </w:rPr>
        <w:t xml:space="preserve">  But then </w:t>
      </w:r>
      <w:r w:rsidR="007F304A" w:rsidRPr="007F304A">
        <w:rPr>
          <w:sz w:val="24"/>
          <w:szCs w:val="24"/>
        </w:rPr>
        <w:t>Mac also seems to say that there is evidence of a SPS for non-zero B, at least near band center, and not too far, etc.  He says that he gets the same critical exponents for zero and non-zero B.  ES say that highly anisotropic systems obey SPS, though perhaps with different critical points, but still same critical exponents as isotropic ones.</w:t>
      </w:r>
      <w:r w:rsidR="007F304A">
        <w:rPr>
          <w:sz w:val="24"/>
          <w:szCs w:val="24"/>
        </w:rPr>
        <w:t xml:space="preserve">  </w:t>
      </w:r>
    </w:p>
    <w:p w14:paraId="2FC494BE" w14:textId="238B00C3" w:rsidR="009342D7" w:rsidRPr="009342D7" w:rsidRDefault="009342D7" w:rsidP="009342D7">
      <w:pPr>
        <w:pStyle w:val="NoSpacing"/>
        <w:rPr>
          <w:sz w:val="24"/>
          <w:szCs w:val="24"/>
        </w:rPr>
      </w:pPr>
    </w:p>
    <w:p w14:paraId="18F7EA1A" w14:textId="2D2C3AB7" w:rsidR="009342D7" w:rsidRPr="00CD1C33" w:rsidRDefault="00CD1C33" w:rsidP="009342D7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What are l</w:t>
      </w:r>
      <w:r w:rsidRPr="00CD1C33">
        <w:rPr>
          <w:b/>
          <w:sz w:val="32"/>
          <w:szCs w:val="32"/>
        </w:rPr>
        <w:t>imits of scaling theory</w:t>
      </w:r>
      <w:r>
        <w:rPr>
          <w:b/>
          <w:sz w:val="32"/>
          <w:szCs w:val="32"/>
        </w:rPr>
        <w:t>?</w:t>
      </w:r>
    </w:p>
    <w:p w14:paraId="23495234" w14:textId="2165962A" w:rsidR="009342D7" w:rsidRDefault="00CD1C33" w:rsidP="009342D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Some people I don’t recall say that they find SPS breaks down in the large disorder regime.  I suppose this isn’t shocking per se</w:t>
      </w:r>
      <w:r>
        <w:rPr>
          <w:rFonts w:ascii="Calibri" w:hAnsi="Calibri" w:cs="Calibri"/>
          <w:sz w:val="24"/>
          <w:szCs w:val="24"/>
        </w:rPr>
        <w:t>ʹ</w:t>
      </w:r>
      <w:r>
        <w:rPr>
          <w:sz w:val="24"/>
          <w:szCs w:val="24"/>
        </w:rPr>
        <w:t xml:space="preserve">, but it would seem to have implications for a large disorder scaling equation in even 1D, and especially Q1D, 3D.  </w:t>
      </w:r>
    </w:p>
    <w:p w14:paraId="64C5D02D" w14:textId="13D039A6" w:rsidR="00543AAB" w:rsidRDefault="00543AAB" w:rsidP="009342D7">
      <w:pPr>
        <w:pStyle w:val="NoSpacing"/>
        <w:rPr>
          <w:sz w:val="24"/>
          <w:szCs w:val="24"/>
        </w:rPr>
      </w:pPr>
    </w:p>
    <w:p w14:paraId="36404CFA" w14:textId="64664894" w:rsidR="00543AAB" w:rsidRPr="00543AAB" w:rsidRDefault="00543AAB" w:rsidP="009342D7">
      <w:pPr>
        <w:pStyle w:val="NoSpacing"/>
        <w:rPr>
          <w:b/>
          <w:sz w:val="24"/>
          <w:szCs w:val="24"/>
        </w:rPr>
      </w:pPr>
      <w:r w:rsidRPr="00543AAB">
        <w:rPr>
          <w:b/>
          <w:sz w:val="24"/>
          <w:szCs w:val="24"/>
        </w:rPr>
        <w:t>Miscellaneous result</w:t>
      </w:r>
    </w:p>
    <w:p w14:paraId="0F7B0C94" w14:textId="77777777" w:rsidR="00543AAB" w:rsidRPr="00BC4BB2" w:rsidRDefault="00543AAB" w:rsidP="00543AAB">
      <w:pPr>
        <w:pStyle w:val="NoSpacing"/>
        <w:rPr>
          <w:color w:val="FF0000"/>
          <w:sz w:val="24"/>
          <w:szCs w:val="24"/>
        </w:rPr>
      </w:pPr>
      <w:r w:rsidRPr="00BC4BB2">
        <w:rPr>
          <w:color w:val="FF0000"/>
          <w:sz w:val="24"/>
          <w:szCs w:val="24"/>
        </w:rPr>
        <w:t xml:space="preserve">Angus/MacKinnon derive a lower bound for the scaling exponent (assuming single parameter scaling theory, and making some other seemingly reasonable assumptions).  They find </w:t>
      </w:r>
      <w:r w:rsidRPr="00BC4BB2">
        <w:rPr>
          <w:b/>
          <w:bCs/>
          <w:color w:val="FF0000"/>
          <w:sz w:val="24"/>
          <w:szCs w:val="24"/>
          <w:lang w:val="el-GR"/>
        </w:rPr>
        <w:t>ν</w:t>
      </w:r>
      <w:r w:rsidRPr="00BC4BB2">
        <w:rPr>
          <w:b/>
          <w:bCs/>
          <w:color w:val="FF0000"/>
          <w:sz w:val="24"/>
          <w:szCs w:val="24"/>
        </w:rPr>
        <w:t xml:space="preserve"> &gt; 2/d</w:t>
      </w:r>
      <w:r w:rsidRPr="00BC4BB2">
        <w:rPr>
          <w:color w:val="FF0000"/>
          <w:sz w:val="24"/>
          <w:szCs w:val="24"/>
        </w:rPr>
        <w:t xml:space="preserve">.  </w:t>
      </w:r>
    </w:p>
    <w:p w14:paraId="7B68506E" w14:textId="77777777" w:rsidR="009342D7" w:rsidRPr="009342D7" w:rsidRDefault="009342D7" w:rsidP="009342D7">
      <w:pPr>
        <w:pStyle w:val="NoSpacing"/>
        <w:rPr>
          <w:sz w:val="24"/>
          <w:szCs w:val="24"/>
        </w:rPr>
      </w:pPr>
    </w:p>
    <w:sectPr w:rsidR="009342D7" w:rsidRPr="009342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A02"/>
    <w:rsid w:val="00087059"/>
    <w:rsid w:val="00132E84"/>
    <w:rsid w:val="00133166"/>
    <w:rsid w:val="001D6CB2"/>
    <w:rsid w:val="001E2440"/>
    <w:rsid w:val="002F7BE2"/>
    <w:rsid w:val="0033503E"/>
    <w:rsid w:val="003B2AF0"/>
    <w:rsid w:val="004349E5"/>
    <w:rsid w:val="00434A71"/>
    <w:rsid w:val="0045036C"/>
    <w:rsid w:val="004B39D7"/>
    <w:rsid w:val="00543AAB"/>
    <w:rsid w:val="00581959"/>
    <w:rsid w:val="00586B6E"/>
    <w:rsid w:val="005F46E2"/>
    <w:rsid w:val="00727000"/>
    <w:rsid w:val="007452CC"/>
    <w:rsid w:val="00776A68"/>
    <w:rsid w:val="007F304A"/>
    <w:rsid w:val="00874286"/>
    <w:rsid w:val="008C2031"/>
    <w:rsid w:val="008E3077"/>
    <w:rsid w:val="008F4027"/>
    <w:rsid w:val="009342D7"/>
    <w:rsid w:val="00990D82"/>
    <w:rsid w:val="009D5095"/>
    <w:rsid w:val="00AA084A"/>
    <w:rsid w:val="00B94007"/>
    <w:rsid w:val="00BC4BB2"/>
    <w:rsid w:val="00C96446"/>
    <w:rsid w:val="00CD1C33"/>
    <w:rsid w:val="00CF550E"/>
    <w:rsid w:val="00E225FF"/>
    <w:rsid w:val="00F05A02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D5E2A"/>
  <w15:chartTrackingRefBased/>
  <w15:docId w15:val="{EDF222A9-7770-4481-A5C7-62051D518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42D7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BC4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3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7</cp:revision>
  <dcterms:created xsi:type="dcterms:W3CDTF">2019-08-13T16:10:00Z</dcterms:created>
  <dcterms:modified xsi:type="dcterms:W3CDTF">2019-08-16T00:45:00Z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